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№5-430-2803/2025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бухгалтерского учета и отчетности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бухгалтерского учета и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п.2.1 ч.2 ст.4.1 Федерального закона от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6"/>
          <w:szCs w:val="26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№2010, в срок до 24 </w:t>
      </w:r>
      <w:r>
        <w:rPr>
          <w:rStyle w:val="cat-Timegrp-28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течение трех рабочих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 данных о закрытии электронного листка нетрудоспособности по запросу страховщика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обеспечила направление в ОСФР по ХМАО-Югре сведения, необходимые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назначения и выплаты пособия по временной нетрудоспособности </w:t>
      </w:r>
      <w:r>
        <w:rPr>
          <w:rStyle w:val="cat-FIOgrp-21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электронному листку №910223632603 за период с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помощью защитника не воспользовалась, протокол об административном правонарушении не о</w:t>
      </w:r>
      <w:r>
        <w:rPr>
          <w:rFonts w:ascii="Times New Roman" w:eastAsia="Times New Roman" w:hAnsi="Times New Roman" w:cs="Times New Roman"/>
          <w:sz w:val="26"/>
          <w:szCs w:val="26"/>
        </w:rPr>
        <w:t>спаривала.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ч.4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5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ч.8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 (далее-Правила)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закрытии листка нетрудоспособности №910223632603 </w:t>
      </w:r>
      <w:r>
        <w:rPr>
          <w:rStyle w:val="cat-FIOgrp-2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нетрудоспособности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запрос на проверку, подтверждение, корректировку сведений страхователю (работодателю) был направлен оператором Единой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системы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0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Страхователем направлен ответ на запрос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изменением параметров, а именно, выполнено изменение расчетных лет. В этой связи сформирован новый запрос </w:t>
      </w:r>
      <w:r>
        <w:rPr>
          <w:rFonts w:ascii="Times New Roman" w:eastAsia="Times New Roman" w:hAnsi="Times New Roman" w:cs="Times New Roman"/>
          <w:sz w:val="26"/>
          <w:szCs w:val="26"/>
        </w:rPr>
        <w:t>на проверку, подтверждение, корректировку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был направлен страхователю (работодателю)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1rplc-3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Ответ на запрос страхователь должен был направить до 24:00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установленные законом сроки сведения,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подписан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ные усиленной квалифицированной 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представлены, а предоставлены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641544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приказа о назначении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начальником отдела бухгалтерского учета и отчетности №56/л от </w:t>
      </w:r>
      <w:r>
        <w:rPr>
          <w:rStyle w:val="cat-Dategrp-16rplc-3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должностного регламента, утвержденного </w:t>
      </w:r>
      <w:r>
        <w:rPr>
          <w:rStyle w:val="cat-Dategrp-1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 и поступления сведения;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№239245391 и №240927245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9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так как,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п.3.1.13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бухгалтерского учета и отчетности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 за обработкой первичных документов по начислению пособий сотрудникам, формированию реестров по пособиям в ФСС.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9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суд учитывает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совершившим административное правонарушение, признание вины и раскаяние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3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6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2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3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КТМО </w:t>
      </w:r>
      <w:r>
        <w:rPr>
          <w:rStyle w:val="cat-PhoneNumbergrp-34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5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</w:t>
      </w:r>
      <w:r>
        <w:rPr>
          <w:rFonts w:ascii="Times New Roman" w:eastAsia="Times New Roman" w:hAnsi="Times New Roman" w:cs="Times New Roman"/>
          <w:sz w:val="26"/>
          <w:szCs w:val="26"/>
        </w:rPr>
        <w:t>370000007 КБК –79711601230060002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7978600</w:t>
      </w:r>
      <w:r>
        <w:rPr>
          <w:rFonts w:ascii="Times New Roman" w:eastAsia="Times New Roman" w:hAnsi="Times New Roman" w:cs="Times New Roman"/>
          <w:sz w:val="26"/>
          <w:szCs w:val="26"/>
        </w:rPr>
        <w:t>1403250100364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4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9rplc-9">
    <w:name w:val="cat-FIO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Timegrp-29rplc-19">
    <w:name w:val="cat-Time grp-2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SumInWordsgrp-25rplc-22">
    <w:name w:val="cat-SumInWords grp-25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Timegrp-30rplc-29">
    <w:name w:val="cat-Time grp-3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Timegrp-31rplc-32">
    <w:name w:val="cat-Time grp-31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Sumgrp-26rplc-43">
    <w:name w:val="cat-Sum grp-26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FIOgrp-24rplc-49">
    <w:name w:val="cat-FIO grp-24 rplc-49"/>
    <w:basedOn w:val="DefaultParagraphFont"/>
  </w:style>
  <w:style w:type="character" w:customStyle="1" w:styleId="cat-FIOgrp-24rplc-50">
    <w:name w:val="cat-FIO grp-2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